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5641" w:rsidRPr="00265641" w:rsidRDefault="00265641" w:rsidP="00265641">
      <w:pPr>
        <w:pStyle w:val="Titre1"/>
      </w:pPr>
      <w:r w:rsidRPr="00265641">
        <w:t>Outils et références</w:t>
      </w:r>
    </w:p>
    <w:p w:rsidR="00265641" w:rsidRPr="00265641" w:rsidRDefault="00265641" w:rsidP="00265641">
      <w:pPr>
        <w:rPr>
          <w:b/>
          <w:bCs/>
        </w:rPr>
      </w:pPr>
      <w:r w:rsidRPr="00265641">
        <w:rPr>
          <w:b/>
          <w:bCs/>
        </w:rPr>
        <w:t>Module 2 – Aspects légaux et gouvernance</w:t>
      </w:r>
    </w:p>
    <w:p w:rsidR="00265641" w:rsidRPr="00265641" w:rsidRDefault="00265641" w:rsidP="00265641">
      <w:r w:rsidRPr="00265641">
        <w:t xml:space="preserve">Ce document regroupe des ressources de référence destinées à soutenir la compréhension des </w:t>
      </w:r>
      <w:r w:rsidRPr="00265641">
        <w:rPr>
          <w:b/>
          <w:bCs/>
        </w:rPr>
        <w:t>rôles, responsabilités et obligations légales</w:t>
      </w:r>
      <w:r w:rsidRPr="00265641">
        <w:t xml:space="preserve"> des conseils d’administration et des équipes des organismes communautaires.</w:t>
      </w:r>
    </w:p>
    <w:p w:rsidR="00265641" w:rsidRPr="00265641" w:rsidRDefault="00265641" w:rsidP="00265641">
      <w:pPr>
        <w:pBdr>
          <w:bottom w:val="single" w:sz="4" w:space="1" w:color="auto"/>
        </w:pBdr>
      </w:pPr>
      <w:r w:rsidRPr="00265641">
        <w:t xml:space="preserve">Les liens proposés servent de </w:t>
      </w:r>
      <w:r w:rsidRPr="00265641">
        <w:rPr>
          <w:b/>
          <w:bCs/>
        </w:rPr>
        <w:t>repères pratiques</w:t>
      </w:r>
      <w:r w:rsidRPr="00265641">
        <w:t xml:space="preserve"> pour l’animation, l’accompagnement des organismes et l’approfondissement des contenus abordés durant la formation.</w:t>
      </w:r>
    </w:p>
    <w:p w:rsidR="00265641" w:rsidRPr="00265641" w:rsidRDefault="00265641" w:rsidP="00265641">
      <w:pPr>
        <w:pStyle w:val="Titre2"/>
      </w:pPr>
      <w:r w:rsidRPr="00265641">
        <w:t>Gouvernance et bonnes pratiques</w:t>
      </w:r>
    </w:p>
    <w:p w:rsidR="00265641" w:rsidRDefault="00265641" w:rsidP="00265641">
      <w:pPr>
        <w:spacing w:after="0"/>
        <w:rPr>
          <w:b/>
          <w:bCs/>
        </w:rPr>
      </w:pPr>
      <w:r w:rsidRPr="00265641">
        <w:rPr>
          <w:b/>
          <w:bCs/>
        </w:rPr>
        <w:t>CSMO ÉSAC – Boîte à outils Gouvernance</w:t>
      </w:r>
    </w:p>
    <w:p w:rsidR="00265641" w:rsidRPr="00265641" w:rsidRDefault="000744D1" w:rsidP="00265641">
      <w:pPr>
        <w:spacing w:after="0"/>
      </w:pPr>
      <w:hyperlink r:id="rId5" w:history="1">
        <w:r w:rsidR="00265641" w:rsidRPr="002F4963">
          <w:rPr>
            <w:rStyle w:val="Lienhypertexte"/>
          </w:rPr>
          <w:t>https://www.csmoesac.qc.ca/boite-a-outils/gouvernance/</w:t>
        </w:r>
      </w:hyperlink>
      <w:r w:rsidR="00265641">
        <w:t xml:space="preserve"> </w:t>
      </w:r>
    </w:p>
    <w:p w:rsidR="00265641" w:rsidRPr="00265641" w:rsidRDefault="00265641" w:rsidP="00265641">
      <w:pPr>
        <w:spacing w:after="0"/>
      </w:pPr>
      <w:r w:rsidRPr="00265641">
        <w:t>Boîte à outils complète portant sur la gouvernance des organismes communautaires et d’économie sociale : rôles et responsabilités du CA, distinction gouvernance/gestion, éthique, conflits d’intérêts et outils pratiques.</w:t>
      </w:r>
    </w:p>
    <w:p w:rsidR="00265641" w:rsidRPr="00265641" w:rsidRDefault="00265641" w:rsidP="00265641">
      <w:pPr>
        <w:spacing w:after="0"/>
      </w:pPr>
    </w:p>
    <w:p w:rsidR="00265641" w:rsidRPr="00265641" w:rsidRDefault="00265641" w:rsidP="00265641">
      <w:pPr>
        <w:pStyle w:val="Titre2"/>
      </w:pPr>
      <w:r w:rsidRPr="00265641">
        <w:t>Accueil et rôle des administrateurs</w:t>
      </w:r>
    </w:p>
    <w:p w:rsidR="00265641" w:rsidRDefault="00265641" w:rsidP="00265641">
      <w:pPr>
        <w:spacing w:after="0"/>
        <w:rPr>
          <w:b/>
          <w:bCs/>
        </w:rPr>
      </w:pPr>
      <w:r w:rsidRPr="00265641">
        <w:rPr>
          <w:b/>
          <w:bCs/>
        </w:rPr>
        <w:t>Leadership Montréal – Vidéo : La place des nouveaux administrateurs dans un CA</w:t>
      </w:r>
    </w:p>
    <w:p w:rsidR="00265641" w:rsidRPr="00265641" w:rsidRDefault="000744D1" w:rsidP="00265641">
      <w:pPr>
        <w:spacing w:after="0"/>
        <w:rPr>
          <w:b/>
          <w:bCs/>
        </w:rPr>
      </w:pPr>
      <w:hyperlink r:id="rId6" w:history="1">
        <w:r w:rsidR="00265641" w:rsidRPr="002F4963">
          <w:rPr>
            <w:rStyle w:val="Lienhypertexte"/>
          </w:rPr>
          <w:t>https://www.youtube.com/watch?v=BxLYtVrJUIA</w:t>
        </w:r>
      </w:hyperlink>
      <w:r w:rsidR="00265641">
        <w:t xml:space="preserve"> </w:t>
      </w:r>
    </w:p>
    <w:p w:rsidR="00265641" w:rsidRPr="00265641" w:rsidRDefault="00265641" w:rsidP="00265641">
      <w:pPr>
        <w:spacing w:after="0"/>
      </w:pPr>
      <w:r w:rsidRPr="00265641">
        <w:t>Vidéo d’introduction utile pour soutenir l’intégration des nouveaux administrateurs et clarifier leur rôle au sein d’un conseil d’administration.</w:t>
      </w:r>
    </w:p>
    <w:p w:rsidR="00265641" w:rsidRDefault="00265641" w:rsidP="00265641">
      <w:pPr>
        <w:spacing w:after="0"/>
        <w:rPr>
          <w:b/>
          <w:bCs/>
        </w:rPr>
      </w:pPr>
      <w:r w:rsidRPr="00265641">
        <w:rPr>
          <w:b/>
          <w:bCs/>
        </w:rPr>
        <w:t>L’Associé – Le rôle et les responsabilités d’un administrateur d’OSBL</w:t>
      </w:r>
    </w:p>
    <w:p w:rsidR="00265641" w:rsidRPr="00265641" w:rsidRDefault="000744D1" w:rsidP="00265641">
      <w:pPr>
        <w:spacing w:after="0"/>
      </w:pPr>
      <w:hyperlink r:id="rId7" w:history="1">
        <w:r w:rsidR="00265641" w:rsidRPr="002F4963">
          <w:rPr>
            <w:rStyle w:val="Lienhypertexte"/>
          </w:rPr>
          <w:t>https://lassocie.ca/administrateur-osbl/</w:t>
        </w:r>
      </w:hyperlink>
      <w:r w:rsidR="00265641">
        <w:t xml:space="preserve"> </w:t>
      </w:r>
    </w:p>
    <w:p w:rsidR="00265641" w:rsidRPr="00265641" w:rsidRDefault="00265641" w:rsidP="00265641">
      <w:pPr>
        <w:spacing w:after="0"/>
      </w:pPr>
      <w:r w:rsidRPr="00265641">
        <w:t>Article de synthèse présentant les devoirs, responsabilités légales et bonnes pratiques attendues des administrateurs.</w:t>
      </w:r>
    </w:p>
    <w:p w:rsidR="00265641" w:rsidRPr="00265641" w:rsidRDefault="00265641" w:rsidP="00265641">
      <w:pPr>
        <w:spacing w:after="0"/>
      </w:pPr>
    </w:p>
    <w:p w:rsidR="00265641" w:rsidRPr="00265641" w:rsidRDefault="00265641" w:rsidP="00265641">
      <w:pPr>
        <w:pStyle w:val="Titre2"/>
      </w:pPr>
      <w:r w:rsidRPr="00265641">
        <w:t>Cadre légal et responsabilités juridiques</w:t>
      </w:r>
    </w:p>
    <w:p w:rsidR="00265641" w:rsidRPr="00265641" w:rsidRDefault="00265641" w:rsidP="00265641">
      <w:pPr>
        <w:spacing w:after="0"/>
        <w:rPr>
          <w:b/>
          <w:bCs/>
        </w:rPr>
      </w:pPr>
      <w:proofErr w:type="spellStart"/>
      <w:r w:rsidRPr="00265641">
        <w:rPr>
          <w:b/>
          <w:bCs/>
        </w:rPr>
        <w:t>Éducaloi</w:t>
      </w:r>
      <w:proofErr w:type="spellEnd"/>
      <w:r w:rsidRPr="00265641">
        <w:rPr>
          <w:b/>
          <w:bCs/>
        </w:rPr>
        <w:t xml:space="preserve"> – Capsules juridiques</w:t>
      </w:r>
    </w:p>
    <w:p w:rsidR="00265641" w:rsidRPr="00265641" w:rsidRDefault="00265641" w:rsidP="00265641">
      <w:pPr>
        <w:numPr>
          <w:ilvl w:val="0"/>
          <w:numId w:val="1"/>
        </w:numPr>
        <w:spacing w:after="0"/>
      </w:pPr>
      <w:r w:rsidRPr="00265641">
        <w:rPr>
          <w:b/>
          <w:bCs/>
        </w:rPr>
        <w:t>Qui fait quoi dans un OSBL (CA et direction générale)</w:t>
      </w:r>
    </w:p>
    <w:p w:rsidR="00265641" w:rsidRPr="00265641" w:rsidRDefault="000744D1" w:rsidP="00265641">
      <w:pPr>
        <w:spacing w:after="0"/>
        <w:ind w:left="720"/>
      </w:pPr>
      <w:hyperlink r:id="rId8" w:history="1">
        <w:r w:rsidR="00265641" w:rsidRPr="002F4963">
          <w:rPr>
            <w:rStyle w:val="Lienhypertexte"/>
          </w:rPr>
          <w:t>https://educaloi.qc.ca/capsules/organisme-sans-but-lucratif-incorpore-administrateurs-et-directeur-general-qui-fait-quoi/</w:t>
        </w:r>
      </w:hyperlink>
      <w:r w:rsidR="00265641">
        <w:t xml:space="preserve"> </w:t>
      </w:r>
    </w:p>
    <w:p w:rsidR="00265641" w:rsidRPr="00265641" w:rsidRDefault="00265641" w:rsidP="00265641">
      <w:pPr>
        <w:numPr>
          <w:ilvl w:val="0"/>
          <w:numId w:val="1"/>
        </w:numPr>
        <w:spacing w:after="0"/>
      </w:pPr>
      <w:r w:rsidRPr="00265641">
        <w:rPr>
          <w:b/>
          <w:bCs/>
        </w:rPr>
        <w:t>Responsabilités des administrateurs – organismes incorporés</w:t>
      </w:r>
    </w:p>
    <w:p w:rsidR="00265641" w:rsidRPr="00265641" w:rsidRDefault="000744D1" w:rsidP="00265641">
      <w:pPr>
        <w:spacing w:after="0"/>
        <w:ind w:left="720"/>
      </w:pPr>
      <w:hyperlink r:id="rId9" w:history="1">
        <w:r w:rsidR="00265641" w:rsidRPr="002F4963">
          <w:rPr>
            <w:rStyle w:val="Lienhypertexte"/>
          </w:rPr>
          <w:t>https://educaloi.qc.ca/capsules/responsabilites-des-administrateurs-organismes-de-bienfaisance-enregistres-incorpores/</w:t>
        </w:r>
      </w:hyperlink>
      <w:r w:rsidR="00265641">
        <w:t xml:space="preserve"> </w:t>
      </w:r>
    </w:p>
    <w:p w:rsidR="00265641" w:rsidRPr="00265641" w:rsidRDefault="00265641" w:rsidP="00265641">
      <w:pPr>
        <w:numPr>
          <w:ilvl w:val="0"/>
          <w:numId w:val="1"/>
        </w:numPr>
        <w:spacing w:after="0"/>
      </w:pPr>
      <w:r w:rsidRPr="00265641">
        <w:rPr>
          <w:b/>
          <w:bCs/>
        </w:rPr>
        <w:t>Règles applicables aux organismes de bienfaisance</w:t>
      </w:r>
    </w:p>
    <w:p w:rsidR="00265641" w:rsidRPr="00265641" w:rsidRDefault="000744D1" w:rsidP="00265641">
      <w:pPr>
        <w:spacing w:after="0"/>
        <w:ind w:left="720"/>
      </w:pPr>
      <w:hyperlink r:id="rId10" w:history="1">
        <w:r w:rsidR="00265641" w:rsidRPr="002F4963">
          <w:rPr>
            <w:rStyle w:val="Lienhypertexte"/>
          </w:rPr>
          <w:t>https://educaloi.qc.ca/capsules/les-regles-que-doivent-suivre-les-organismes-de-bienfaisance/</w:t>
        </w:r>
      </w:hyperlink>
      <w:r w:rsidR="00265641">
        <w:t xml:space="preserve"> </w:t>
      </w:r>
    </w:p>
    <w:p w:rsidR="00265641" w:rsidRPr="00265641" w:rsidRDefault="00265641" w:rsidP="00265641">
      <w:pPr>
        <w:numPr>
          <w:ilvl w:val="0"/>
          <w:numId w:val="1"/>
        </w:numPr>
        <w:spacing w:after="0"/>
      </w:pPr>
      <w:r w:rsidRPr="00265641">
        <w:rPr>
          <w:b/>
          <w:bCs/>
        </w:rPr>
        <w:t>Responsabilités des administrateurs – organismes non incorporés</w:t>
      </w:r>
    </w:p>
    <w:p w:rsidR="00265641" w:rsidRDefault="000744D1" w:rsidP="00265641">
      <w:pPr>
        <w:spacing w:after="0"/>
        <w:ind w:left="720"/>
      </w:pPr>
      <w:hyperlink r:id="rId11" w:history="1">
        <w:r w:rsidR="00265641" w:rsidRPr="002F4963">
          <w:rPr>
            <w:rStyle w:val="Lienhypertexte"/>
          </w:rPr>
          <w:t>https://educaloi.qc.ca/capsules/responsabilites-des-administrateurs-organismes-de-bienfaisance-enregistres-non-incorpores/</w:t>
        </w:r>
      </w:hyperlink>
      <w:r w:rsidR="00265641">
        <w:t xml:space="preserve"> </w:t>
      </w:r>
    </w:p>
    <w:p w:rsidR="00265641" w:rsidRPr="00C92515" w:rsidRDefault="00C92515" w:rsidP="00C92515">
      <w:pPr>
        <w:pStyle w:val="Paragraphedeliste"/>
        <w:numPr>
          <w:ilvl w:val="0"/>
          <w:numId w:val="3"/>
        </w:numPr>
        <w:spacing w:after="0"/>
        <w:rPr>
          <w:b/>
        </w:rPr>
      </w:pPr>
      <w:r w:rsidRPr="00C92515">
        <w:rPr>
          <w:b/>
        </w:rPr>
        <w:t>8 Critères de l’ACA</w:t>
      </w:r>
      <w:bookmarkStart w:id="0" w:name="_GoBack"/>
      <w:bookmarkEnd w:id="0"/>
    </w:p>
    <w:p w:rsidR="00265641" w:rsidRPr="00265641" w:rsidRDefault="00C92515" w:rsidP="00265641">
      <w:pPr>
        <w:spacing w:after="0"/>
        <w:ind w:left="720"/>
      </w:pPr>
      <w:hyperlink r:id="rId12" w:history="1">
        <w:r w:rsidRPr="006E5230">
          <w:rPr>
            <w:rStyle w:val="Lienhypertexte"/>
          </w:rPr>
          <w:t>https://riocm.org/wp-content/uploads/2022/01/Outil-ACA-2021-RIOCM.pdf</w:t>
        </w:r>
      </w:hyperlink>
      <w:r>
        <w:t xml:space="preserve"> </w:t>
      </w:r>
    </w:p>
    <w:p w:rsidR="00265641" w:rsidRDefault="00265641" w:rsidP="00265641">
      <w:pPr>
        <w:spacing w:after="0"/>
        <w:rPr>
          <w:b/>
          <w:bCs/>
        </w:rPr>
      </w:pPr>
      <w:r w:rsidRPr="00265641">
        <w:rPr>
          <w:b/>
          <w:bCs/>
        </w:rPr>
        <w:lastRenderedPageBreak/>
        <w:t>Paul Martel et Georges Lebel – Devoirs et responsabilités des OBNL</w:t>
      </w:r>
    </w:p>
    <w:p w:rsidR="00265641" w:rsidRPr="00265641" w:rsidRDefault="000744D1" w:rsidP="00265641">
      <w:pPr>
        <w:spacing w:after="0"/>
      </w:pPr>
      <w:hyperlink r:id="rId13" w:history="1">
        <w:r w:rsidR="00265641" w:rsidRPr="002F4963">
          <w:rPr>
            <w:rStyle w:val="Lienhypertexte"/>
          </w:rPr>
          <w:t>https://vie-etudiante.uqam.ca/medias/fichiers/activites-etudiantes/devoirs-responsabilites-sans_but-lucratif.pdf</w:t>
        </w:r>
      </w:hyperlink>
      <w:r w:rsidR="00265641">
        <w:t xml:space="preserve"> </w:t>
      </w:r>
    </w:p>
    <w:p w:rsidR="00265641" w:rsidRPr="00265641" w:rsidRDefault="00265641" w:rsidP="00265641">
      <w:pPr>
        <w:spacing w:after="0"/>
      </w:pPr>
      <w:r w:rsidRPr="00265641">
        <w:t>Document de référence expliquant les lois qui encadrent les organismes sans but lucratif et les responsabilités des administrateurs.</w:t>
      </w:r>
    </w:p>
    <w:p w:rsidR="00265641" w:rsidRPr="00265641" w:rsidRDefault="00265641" w:rsidP="00265641">
      <w:pPr>
        <w:spacing w:after="0"/>
      </w:pPr>
    </w:p>
    <w:p w:rsidR="00265641" w:rsidRPr="00265641" w:rsidRDefault="00265641" w:rsidP="00265641">
      <w:pPr>
        <w:pStyle w:val="Titre2"/>
      </w:pPr>
      <w:r w:rsidRPr="00265641">
        <w:t>Normes du travail et obligations de l’employeur</w:t>
      </w:r>
    </w:p>
    <w:p w:rsidR="00265641" w:rsidRDefault="00265641" w:rsidP="00265641">
      <w:pPr>
        <w:spacing w:after="0"/>
        <w:rPr>
          <w:b/>
          <w:bCs/>
        </w:rPr>
      </w:pPr>
      <w:r w:rsidRPr="00265641">
        <w:rPr>
          <w:b/>
          <w:bCs/>
        </w:rPr>
        <w:t>Commission des normes, de l’équité, de la santé et de la sécurité du travail (CNESST)</w:t>
      </w:r>
    </w:p>
    <w:p w:rsidR="00265641" w:rsidRPr="00265641" w:rsidRDefault="000744D1" w:rsidP="00265641">
      <w:pPr>
        <w:spacing w:after="0"/>
      </w:pPr>
      <w:hyperlink r:id="rId14" w:history="1">
        <w:r w:rsidR="00265641" w:rsidRPr="002F4963">
          <w:rPr>
            <w:rStyle w:val="Lienhypertexte"/>
          </w:rPr>
          <w:t>https://www.cnesst.gouv.qc.ca/fr</w:t>
        </w:r>
      </w:hyperlink>
      <w:r w:rsidR="00265641">
        <w:t xml:space="preserve"> </w:t>
      </w:r>
    </w:p>
    <w:p w:rsidR="00265641" w:rsidRPr="00265641" w:rsidRDefault="00265641" w:rsidP="00265641">
      <w:pPr>
        <w:spacing w:after="0"/>
      </w:pPr>
      <w:r w:rsidRPr="00265641">
        <w:t>Ressource officielle concernant les normes du travail, la santé et la sécurité, ainsi que les obligations légales des employeurs.</w:t>
      </w:r>
    </w:p>
    <w:p w:rsidR="00265641" w:rsidRPr="00265641" w:rsidRDefault="00265641" w:rsidP="00265641">
      <w:pPr>
        <w:spacing w:after="0"/>
      </w:pPr>
    </w:p>
    <w:p w:rsidR="00265641" w:rsidRPr="00265641" w:rsidRDefault="00265641" w:rsidP="00265641">
      <w:pPr>
        <w:pStyle w:val="Titre2"/>
      </w:pPr>
      <w:r w:rsidRPr="00265641">
        <w:t>Protection des renseignements personnels – Loi 25</w:t>
      </w:r>
    </w:p>
    <w:p w:rsidR="00265641" w:rsidRPr="00265641" w:rsidRDefault="00265641" w:rsidP="00265641">
      <w:pPr>
        <w:spacing w:after="0"/>
      </w:pPr>
      <w:r w:rsidRPr="00265641">
        <w:rPr>
          <w:b/>
          <w:bCs/>
        </w:rPr>
        <w:t>Commission d’accès à l’information (CAI)</w:t>
      </w:r>
    </w:p>
    <w:p w:rsidR="00265641" w:rsidRPr="00265641" w:rsidRDefault="00265641" w:rsidP="00265641">
      <w:pPr>
        <w:numPr>
          <w:ilvl w:val="0"/>
          <w:numId w:val="2"/>
        </w:numPr>
        <w:spacing w:after="0"/>
      </w:pPr>
      <w:r w:rsidRPr="00265641">
        <w:rPr>
          <w:b/>
          <w:bCs/>
        </w:rPr>
        <w:t>Loi 25 – Nouvelles obligations</w:t>
      </w:r>
    </w:p>
    <w:p w:rsidR="00265641" w:rsidRPr="00265641" w:rsidRDefault="000744D1" w:rsidP="00265641">
      <w:pPr>
        <w:spacing w:after="0"/>
        <w:ind w:left="720"/>
      </w:pPr>
      <w:hyperlink r:id="rId15" w:history="1">
        <w:r w:rsidR="00265641" w:rsidRPr="002F4963">
          <w:rPr>
            <w:rStyle w:val="Lienhypertexte"/>
          </w:rPr>
          <w:t>https://www.cai.gouv.qc.ca/loi-25/</w:t>
        </w:r>
      </w:hyperlink>
      <w:r w:rsidR="00265641">
        <w:t xml:space="preserve"> </w:t>
      </w:r>
    </w:p>
    <w:p w:rsidR="00265641" w:rsidRDefault="00265641" w:rsidP="00265641">
      <w:pPr>
        <w:numPr>
          <w:ilvl w:val="0"/>
          <w:numId w:val="2"/>
        </w:numPr>
        <w:spacing w:after="0"/>
      </w:pPr>
      <w:r w:rsidRPr="00265641">
        <w:rPr>
          <w:b/>
          <w:bCs/>
        </w:rPr>
        <w:t>Outils et guides pour les organisations</w:t>
      </w:r>
      <w:r w:rsidRPr="00265641">
        <w:t xml:space="preserve"> (politiques, incidents de confidentialité, registre, rôles et responsabilités)</w:t>
      </w:r>
    </w:p>
    <w:p w:rsidR="00265641" w:rsidRPr="00265641" w:rsidRDefault="000744D1" w:rsidP="00265641">
      <w:pPr>
        <w:spacing w:after="0"/>
        <w:ind w:left="720"/>
      </w:pPr>
      <w:hyperlink r:id="rId16" w:history="1">
        <w:r w:rsidR="00265641" w:rsidRPr="002F4963">
          <w:rPr>
            <w:rStyle w:val="Lienhypertexte"/>
          </w:rPr>
          <w:t>https://www.cai.gouv.qc.ca/organisations/</w:t>
        </w:r>
      </w:hyperlink>
      <w:r w:rsidR="00265641">
        <w:t xml:space="preserve"> </w:t>
      </w:r>
    </w:p>
    <w:p w:rsidR="00265641" w:rsidRPr="00265641" w:rsidRDefault="00265641" w:rsidP="00265641">
      <w:pPr>
        <w:numPr>
          <w:ilvl w:val="0"/>
          <w:numId w:val="2"/>
        </w:numPr>
        <w:spacing w:after="0"/>
      </w:pPr>
      <w:r w:rsidRPr="00265641">
        <w:rPr>
          <w:b/>
          <w:bCs/>
        </w:rPr>
        <w:t>Incident de confidentialité – quoi faire</w:t>
      </w:r>
    </w:p>
    <w:p w:rsidR="00265641" w:rsidRPr="00265641" w:rsidRDefault="000744D1" w:rsidP="00265641">
      <w:pPr>
        <w:spacing w:after="0"/>
        <w:ind w:left="720"/>
      </w:pPr>
      <w:hyperlink r:id="rId17" w:history="1">
        <w:r w:rsidR="00265641" w:rsidRPr="002F4963">
          <w:rPr>
            <w:rStyle w:val="Lienhypertexte"/>
          </w:rPr>
          <w:t>https://www.cai.gouv.qc.ca/incident-confidentialite/</w:t>
        </w:r>
      </w:hyperlink>
      <w:r w:rsidR="00265641">
        <w:t xml:space="preserve"> </w:t>
      </w:r>
    </w:p>
    <w:p w:rsidR="00265641" w:rsidRPr="00265641" w:rsidRDefault="00265641" w:rsidP="00265641"/>
    <w:p w:rsidR="00265641" w:rsidRPr="00265641" w:rsidRDefault="00265641" w:rsidP="00265641">
      <w:pPr>
        <w:shd w:val="clear" w:color="auto" w:fill="A6A6A6" w:themeFill="background1" w:themeFillShade="A6"/>
        <w:rPr>
          <w:b/>
          <w:bCs/>
        </w:rPr>
      </w:pPr>
      <w:r w:rsidRPr="00265641">
        <w:rPr>
          <w:b/>
          <w:bCs/>
        </w:rPr>
        <w:t>Note importante</w:t>
      </w:r>
    </w:p>
    <w:p w:rsidR="00265641" w:rsidRPr="00265641" w:rsidRDefault="00265641" w:rsidP="00265641">
      <w:r w:rsidRPr="00265641">
        <w:t xml:space="preserve">Les ressources présentées dans ce document sont offertes à titre </w:t>
      </w:r>
      <w:r w:rsidRPr="00265641">
        <w:rPr>
          <w:b/>
          <w:bCs/>
        </w:rPr>
        <w:t>informatif et pédagogique</w:t>
      </w:r>
      <w:r w:rsidRPr="00265641">
        <w:t xml:space="preserve">. Elles ne constituent </w:t>
      </w:r>
      <w:r w:rsidRPr="00B0431F">
        <w:rPr>
          <w:u w:val="single"/>
        </w:rPr>
        <w:t>pas un avis juridique</w:t>
      </w:r>
      <w:r w:rsidRPr="00265641">
        <w:t>. En cas de doute ou de situation complexe, il est recommandé de consulter des ressources spécialisées ou des professionnels du droit.</w:t>
      </w:r>
    </w:p>
    <w:p w:rsidR="00B62E83" w:rsidRDefault="00B62E83"/>
    <w:sectPr w:rsidR="00B62E83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B60B05"/>
    <w:multiLevelType w:val="hybridMultilevel"/>
    <w:tmpl w:val="05E8FEE4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0561DF9"/>
    <w:multiLevelType w:val="multilevel"/>
    <w:tmpl w:val="1A581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B8902E1"/>
    <w:multiLevelType w:val="multilevel"/>
    <w:tmpl w:val="4A24D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641"/>
    <w:rsid w:val="00265641"/>
    <w:rsid w:val="00B0431F"/>
    <w:rsid w:val="00B62E83"/>
    <w:rsid w:val="00C92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951E944"/>
  <w15:chartTrackingRefBased/>
  <w15:docId w15:val="{98A78790-3DF1-4F11-9C80-E8644ABD9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6564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26564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6564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26564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Lienhypertexte">
    <w:name w:val="Hyperlink"/>
    <w:basedOn w:val="Policepardfaut"/>
    <w:uiPriority w:val="99"/>
    <w:unhideWhenUsed/>
    <w:rsid w:val="00265641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C925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143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5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8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6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1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46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caloi.qc.ca/capsules/organisme-sans-but-lucratif-incorpore-administrateurs-et-directeur-general-qui-fait-quoi/" TargetMode="External"/><Relationship Id="rId13" Type="http://schemas.openxmlformats.org/officeDocument/2006/relationships/hyperlink" Target="https://vie-etudiante.uqam.ca/medias/fichiers/activites-etudiantes/devoirs-responsabilites-sans_but-lucratif.pdf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lassocie.ca/administrateur-osbl/" TargetMode="External"/><Relationship Id="rId12" Type="http://schemas.openxmlformats.org/officeDocument/2006/relationships/hyperlink" Target="https://riocm.org/wp-content/uploads/2022/01/Outil-ACA-2021-RIOCM.pdf" TargetMode="External"/><Relationship Id="rId17" Type="http://schemas.openxmlformats.org/officeDocument/2006/relationships/hyperlink" Target="https://www.cai.gouv.qc.ca/incident-confidentialite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cai.gouv.qc.ca/organisations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BxLYtVrJUIA" TargetMode="External"/><Relationship Id="rId11" Type="http://schemas.openxmlformats.org/officeDocument/2006/relationships/hyperlink" Target="https://educaloi.qc.ca/capsules/responsabilites-des-administrateurs-organismes-de-bienfaisance-enregistres-non-incorpores/" TargetMode="External"/><Relationship Id="rId5" Type="http://schemas.openxmlformats.org/officeDocument/2006/relationships/hyperlink" Target="https://www.csmoesac.qc.ca/boite-a-outils/gouvernance/" TargetMode="External"/><Relationship Id="rId15" Type="http://schemas.openxmlformats.org/officeDocument/2006/relationships/hyperlink" Target="https://www.cai.gouv.qc.ca/loi-25/" TargetMode="External"/><Relationship Id="rId10" Type="http://schemas.openxmlformats.org/officeDocument/2006/relationships/hyperlink" Target="https://educaloi.qc.ca/capsules/les-regles-que-doivent-suivre-les-organismes-de-bienfaisance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educaloi.qc.ca/capsules/responsabilites-des-administrateurs-organismes-de-bienfaisance-enregistres-incorpores/" TargetMode="External"/><Relationship Id="rId14" Type="http://schemas.openxmlformats.org/officeDocument/2006/relationships/hyperlink" Target="https://www.cnesst.gouv.qc.ca/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714</Words>
  <Characters>3932</Characters>
  <Application>Microsoft Office Word</Application>
  <DocSecurity>0</DocSecurity>
  <Lines>32</Lines>
  <Paragraphs>9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6</vt:i4>
      </vt:variant>
    </vt:vector>
  </HeadingPairs>
  <TitlesOfParts>
    <vt:vector size="7" baseType="lpstr">
      <vt:lpstr/>
      <vt:lpstr>Outils et références</vt:lpstr>
      <vt:lpstr>    Gouvernance et bonnes pratiques</vt:lpstr>
      <vt:lpstr>    Accueil et rôle des administrateurs</vt:lpstr>
      <vt:lpstr>    Cadre légal et responsabilités juridiques</vt:lpstr>
      <vt:lpstr>    Normes du travail et obligations de l’employeur</vt:lpstr>
      <vt:lpstr>    Protection des renseignements personnels – Loi 25</vt:lpstr>
    </vt:vector>
  </TitlesOfParts>
  <Company>CIUSSS NIM</Company>
  <LinksUpToDate>false</LinksUpToDate>
  <CharactersWithSpaces>4637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Manon Boily (CIUSSS NIM)</dc:creator>
  <cp:keywords/>
  <dc:description/>
  <cp:lastModifiedBy>Manon Boily (CIUSSS NIM)</cp:lastModifiedBy>
  <cp:revision>3</cp:revision>
  <dcterms:created xsi:type="dcterms:W3CDTF">2026-01-12T21:26:00Z</dcterms:created>
  <dcterms:modified xsi:type="dcterms:W3CDTF">2026-04-10T21:06:00Z</dcterms:modified>
</cp:coreProperties>
</file>